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66"/>
        <w:tblW w:w="99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5479"/>
      </w:tblGrid>
      <w:tr w:rsidR="00997420" w:rsidRPr="00F413F0" w14:paraId="2D3447BE" w14:textId="77777777" w:rsidTr="00A23E10">
        <w:trPr>
          <w:trHeight w:val="2556"/>
        </w:trPr>
        <w:tc>
          <w:tcPr>
            <w:tcW w:w="4488" w:type="dxa"/>
          </w:tcPr>
          <w:p w14:paraId="2D3447AE" w14:textId="77777777" w:rsidR="00997420" w:rsidRPr="00F413F0" w:rsidRDefault="00997420" w:rsidP="00AD0A1D">
            <w:pPr>
              <w:ind w:left="-105" w:right="49"/>
              <w:rPr>
                <w:rFonts w:eastAsia="Times New Roman"/>
                <w:b/>
                <w:color w:val="0D0D0D" w:themeColor="text1" w:themeTint="F2"/>
              </w:rPr>
            </w:pPr>
            <w:proofErr w:type="spellStart"/>
            <w:r w:rsidRPr="00F413F0">
              <w:rPr>
                <w:rFonts w:eastAsia="Times New Roman"/>
                <w:b/>
                <w:color w:val="0D0D0D" w:themeColor="text1" w:themeTint="F2"/>
              </w:rPr>
              <w:t>Drumhillery</w:t>
            </w:r>
            <w:proofErr w:type="spellEnd"/>
            <w:r w:rsidRPr="00F413F0">
              <w:rPr>
                <w:rFonts w:eastAsia="Times New Roman"/>
                <w:b/>
                <w:color w:val="0D0D0D" w:themeColor="text1" w:themeTint="F2"/>
              </w:rPr>
              <w:t xml:space="preserve"> Primary School</w:t>
            </w:r>
          </w:p>
          <w:p w14:paraId="2D3447AF" w14:textId="77777777"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 xml:space="preserve">58 </w:t>
            </w:r>
            <w:proofErr w:type="spellStart"/>
            <w:r w:rsidRPr="00F413F0">
              <w:rPr>
                <w:rFonts w:eastAsia="Times New Roman"/>
                <w:b/>
                <w:color w:val="0D0D0D" w:themeColor="text1" w:themeTint="F2"/>
              </w:rPr>
              <w:t>Drumhillery</w:t>
            </w:r>
            <w:proofErr w:type="spellEnd"/>
            <w:r w:rsidRPr="00F413F0">
              <w:rPr>
                <w:rFonts w:eastAsia="Times New Roman"/>
                <w:b/>
                <w:color w:val="0D0D0D" w:themeColor="text1" w:themeTint="F2"/>
              </w:rPr>
              <w:t xml:space="preserve"> Road</w:t>
            </w:r>
          </w:p>
          <w:p w14:paraId="2D3447B0" w14:textId="0FD38778"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Middletown</w:t>
            </w:r>
            <w:r w:rsidR="008162EA" w:rsidRPr="00F413F0">
              <w:rPr>
                <w:rFonts w:eastAsia="Times New Roman"/>
                <w:b/>
                <w:color w:val="0D0D0D" w:themeColor="text1" w:themeTint="F2"/>
              </w:rPr>
              <w:t xml:space="preserve"> </w:t>
            </w:r>
          </w:p>
          <w:p w14:paraId="2D3447B1" w14:textId="77777777"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 xml:space="preserve">Armagh  </w:t>
            </w:r>
          </w:p>
          <w:p w14:paraId="2D3447B2" w14:textId="77777777"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BT60 3DJ</w:t>
            </w:r>
          </w:p>
          <w:p w14:paraId="2D3447B3" w14:textId="77777777" w:rsidR="00997420" w:rsidRPr="00F413F0" w:rsidRDefault="00997420" w:rsidP="00AD0A1D">
            <w:pPr>
              <w:tabs>
                <w:tab w:val="left" w:pos="4320"/>
              </w:tabs>
              <w:ind w:left="-105" w:right="49"/>
              <w:rPr>
                <w:rFonts w:eastAsia="Times New Roman"/>
                <w:b/>
                <w:color w:val="0D0D0D" w:themeColor="text1" w:themeTint="F2"/>
              </w:rPr>
            </w:pPr>
          </w:p>
          <w:p w14:paraId="2D3447B4" w14:textId="77777777"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Telephone No: (028) 3756 8725</w:t>
            </w:r>
          </w:p>
          <w:p w14:paraId="2D3447B5" w14:textId="77777777" w:rsidR="00997420" w:rsidRPr="00F413F0" w:rsidRDefault="00997420" w:rsidP="00AD0A1D">
            <w:pPr>
              <w:tabs>
                <w:tab w:val="left" w:pos="4320"/>
              </w:tabs>
              <w:ind w:left="-105" w:right="49"/>
              <w:rPr>
                <w:rFonts w:eastAsia="Times New Roman"/>
                <w:b/>
                <w:color w:val="0D0D0D" w:themeColor="text1" w:themeTint="F2"/>
              </w:rPr>
            </w:pPr>
            <w:r w:rsidRPr="00F413F0">
              <w:rPr>
                <w:rFonts w:eastAsia="Times New Roman"/>
                <w:b/>
                <w:color w:val="0D0D0D" w:themeColor="text1" w:themeTint="F2"/>
              </w:rPr>
              <w:t>Email: kcampbell566@c2kni.net</w:t>
            </w:r>
          </w:p>
          <w:p w14:paraId="2D3447B6" w14:textId="3A1606C7" w:rsidR="00F81F8A" w:rsidRPr="00A23E10" w:rsidRDefault="00997420" w:rsidP="00A23E10">
            <w:pPr>
              <w:tabs>
                <w:tab w:val="left" w:pos="4320"/>
              </w:tabs>
              <w:ind w:left="-105" w:right="49"/>
              <w:rPr>
                <w:rFonts w:eastAsia="Times New Roman"/>
                <w:b/>
              </w:rPr>
            </w:pPr>
            <w:r w:rsidRPr="00F413F0">
              <w:rPr>
                <w:rFonts w:eastAsia="Times New Roman"/>
                <w:b/>
                <w:color w:val="0D0D0D" w:themeColor="text1" w:themeTint="F2"/>
              </w:rPr>
              <w:t xml:space="preserve">Website: </w:t>
            </w:r>
            <w:hyperlink r:id="rId11" w:history="1">
              <w:r w:rsidR="00F81F8A" w:rsidRPr="00F413F0">
                <w:rPr>
                  <w:rStyle w:val="Hyperlink"/>
                  <w:rFonts w:eastAsia="Times New Roman"/>
                  <w:b/>
                  <w:color w:val="auto"/>
                  <w:u w:val="none"/>
                </w:rPr>
                <w:t>www.drumhilleryprimary.co.uk</w:t>
              </w:r>
            </w:hyperlink>
          </w:p>
        </w:tc>
        <w:tc>
          <w:tcPr>
            <w:tcW w:w="5479" w:type="dxa"/>
          </w:tcPr>
          <w:p w14:paraId="2D3447B7" w14:textId="02DBB553" w:rsidR="00997420" w:rsidRPr="00F413F0" w:rsidRDefault="00751381" w:rsidP="00751381">
            <w:pPr>
              <w:tabs>
                <w:tab w:val="left" w:pos="4320"/>
              </w:tabs>
              <w:jc w:val="right"/>
              <w:rPr>
                <w:rFonts w:eastAsia="Times New Roman"/>
                <w:b/>
                <w:color w:val="0D0D0D" w:themeColor="text1" w:themeTint="F2"/>
              </w:rPr>
            </w:pPr>
            <w:r w:rsidRPr="00F413F0">
              <w:rPr>
                <w:rFonts w:eastAsia="Times New Roman"/>
                <w:b/>
                <w:color w:val="0D0D0D" w:themeColor="text1" w:themeTint="F2"/>
              </w:rPr>
              <w:t xml:space="preserve"> </w:t>
            </w:r>
            <w:r w:rsidR="00997420" w:rsidRPr="00F413F0">
              <w:rPr>
                <w:rFonts w:eastAsia="Times New Roman"/>
                <w:b/>
                <w:color w:val="0D0D0D" w:themeColor="text1" w:themeTint="F2"/>
              </w:rPr>
              <w:t>Controlled Primary School</w:t>
            </w:r>
          </w:p>
          <w:p w14:paraId="2D3447B8" w14:textId="77777777" w:rsidR="00997420" w:rsidRPr="00F413F0" w:rsidRDefault="00997420" w:rsidP="0006459F">
            <w:pPr>
              <w:tabs>
                <w:tab w:val="left" w:pos="4320"/>
              </w:tabs>
              <w:ind w:right="49"/>
              <w:jc w:val="right"/>
              <w:rPr>
                <w:rFonts w:eastAsia="Times New Roman"/>
                <w:b/>
                <w:color w:val="0D0D0D" w:themeColor="text1" w:themeTint="F2"/>
              </w:rPr>
            </w:pPr>
          </w:p>
          <w:p w14:paraId="2D3447B9" w14:textId="77777777" w:rsidR="00997420" w:rsidRPr="00A23E10" w:rsidRDefault="00997420" w:rsidP="0006459F">
            <w:pPr>
              <w:jc w:val="right"/>
              <w:rPr>
                <w:rFonts w:eastAsia="Times New Roman"/>
                <w:b/>
                <w:color w:val="0D0D0D" w:themeColor="text1" w:themeTint="F2"/>
              </w:rPr>
            </w:pPr>
            <w:r w:rsidRPr="00A23E10">
              <w:rPr>
                <w:rFonts w:eastAsia="Times New Roman"/>
                <w:b/>
                <w:color w:val="0D0D0D" w:themeColor="text1" w:themeTint="F2"/>
              </w:rPr>
              <w:t>Enrolment Number: 111</w:t>
            </w:r>
          </w:p>
          <w:p w14:paraId="2D3447BA" w14:textId="77777777" w:rsidR="00997420" w:rsidRPr="00F413F0" w:rsidRDefault="00997420" w:rsidP="0006459F">
            <w:pPr>
              <w:jc w:val="right"/>
              <w:rPr>
                <w:rFonts w:eastAsia="Times New Roman"/>
                <w:b/>
                <w:color w:val="0D0D0D" w:themeColor="text1" w:themeTint="F2"/>
              </w:rPr>
            </w:pPr>
            <w:r w:rsidRPr="00A23E10">
              <w:rPr>
                <w:rFonts w:eastAsia="Times New Roman"/>
                <w:b/>
                <w:color w:val="0D0D0D" w:themeColor="text1" w:themeTint="F2"/>
              </w:rPr>
              <w:t>Admissions Number: 16</w:t>
            </w:r>
          </w:p>
          <w:p w14:paraId="2D3447BB" w14:textId="77777777" w:rsidR="00997420" w:rsidRPr="00F413F0" w:rsidRDefault="00997420" w:rsidP="0006459F">
            <w:pPr>
              <w:jc w:val="right"/>
              <w:rPr>
                <w:rFonts w:eastAsia="Times New Roman"/>
                <w:b/>
                <w:color w:val="0D0D0D" w:themeColor="text1" w:themeTint="F2"/>
              </w:rPr>
            </w:pPr>
          </w:p>
          <w:p w14:paraId="2D3447BC" w14:textId="77777777" w:rsidR="00997420" w:rsidRPr="00F413F0" w:rsidRDefault="00997420" w:rsidP="0006459F">
            <w:pPr>
              <w:jc w:val="right"/>
              <w:rPr>
                <w:rFonts w:eastAsia="Times New Roman"/>
                <w:color w:val="0D0D0D" w:themeColor="text1" w:themeTint="F2"/>
              </w:rPr>
            </w:pPr>
            <w:r w:rsidRPr="00F413F0">
              <w:rPr>
                <w:rFonts w:eastAsia="Times New Roman"/>
                <w:b/>
                <w:color w:val="0D0D0D" w:themeColor="text1" w:themeTint="F2"/>
              </w:rPr>
              <w:t xml:space="preserve">PRINCIPAL:  Mr K D Campbell, </w:t>
            </w:r>
            <w:proofErr w:type="spellStart"/>
            <w:r w:rsidRPr="00F413F0">
              <w:rPr>
                <w:rFonts w:eastAsia="Times New Roman"/>
                <w:b/>
                <w:color w:val="0D0D0D" w:themeColor="text1" w:themeTint="F2"/>
              </w:rPr>
              <w:t>BEd</w:t>
            </w:r>
            <w:proofErr w:type="spellEnd"/>
            <w:r w:rsidRPr="00F413F0">
              <w:rPr>
                <w:rFonts w:eastAsia="Times New Roman"/>
                <w:b/>
                <w:color w:val="0D0D0D" w:themeColor="text1" w:themeTint="F2"/>
              </w:rPr>
              <w:t xml:space="preserve"> ACEM, PQH (NI)</w:t>
            </w:r>
          </w:p>
          <w:p w14:paraId="2D3447BD" w14:textId="77777777" w:rsidR="00997420" w:rsidRPr="00F413F0" w:rsidRDefault="00997420" w:rsidP="0006459F">
            <w:pPr>
              <w:tabs>
                <w:tab w:val="left" w:pos="5400"/>
              </w:tabs>
              <w:ind w:right="49"/>
              <w:jc w:val="right"/>
              <w:rPr>
                <w:rFonts w:eastAsia="Times New Roman"/>
                <w:b/>
                <w:color w:val="0D0D0D" w:themeColor="text1" w:themeTint="F2"/>
              </w:rPr>
            </w:pPr>
            <w:r w:rsidRPr="00F413F0">
              <w:rPr>
                <w:rFonts w:eastAsia="Times New Roman"/>
                <w:b/>
                <w:color w:val="0D0D0D" w:themeColor="text1" w:themeTint="F2"/>
              </w:rPr>
              <w:t>CHAIR OF BOARD OF GOVERNORS:  Mr J Bell</w:t>
            </w:r>
          </w:p>
        </w:tc>
      </w:tr>
    </w:tbl>
    <w:p w14:paraId="2D3447BF" w14:textId="77777777" w:rsidR="00997420" w:rsidRPr="00F413F0" w:rsidRDefault="00997420" w:rsidP="00AD0A1D">
      <w:pPr>
        <w:tabs>
          <w:tab w:val="left" w:pos="5760"/>
        </w:tabs>
        <w:spacing w:after="0" w:line="240" w:lineRule="auto"/>
        <w:ind w:right="49"/>
        <w:jc w:val="both"/>
        <w:rPr>
          <w:rFonts w:eastAsia="Times New Roman" w:cs="Times New Roman"/>
          <w:b/>
          <w:i/>
          <w:color w:val="0D0D0D" w:themeColor="text1" w:themeTint="F2"/>
        </w:rPr>
      </w:pPr>
    </w:p>
    <w:p w14:paraId="2D3447C0" w14:textId="77777777" w:rsidR="00997420" w:rsidRPr="00F413F0" w:rsidRDefault="00997420" w:rsidP="00AD0A1D">
      <w:pPr>
        <w:tabs>
          <w:tab w:val="left" w:pos="5400"/>
        </w:tabs>
        <w:spacing w:after="0" w:line="240" w:lineRule="auto"/>
        <w:ind w:right="49"/>
        <w:jc w:val="both"/>
        <w:rPr>
          <w:rFonts w:eastAsia="Times New Roman" w:cs="Times New Roman"/>
          <w:b/>
          <w:i/>
          <w:color w:val="0D0D0D" w:themeColor="text1" w:themeTint="F2"/>
        </w:rPr>
      </w:pPr>
      <w:r w:rsidRPr="00F413F0">
        <w:rPr>
          <w:rFonts w:eastAsia="Times New Roman" w:cs="Times New Roman"/>
          <w:b/>
          <w:i/>
          <w:color w:val="0D0D0D" w:themeColor="text1" w:themeTint="F2"/>
        </w:rPr>
        <w:t>RESPECTIVE FUNCTIONS OF THE BOARD OF GOVERNORS AND PRINCIPAL IN RELATION TO ADMISSIONS</w:t>
      </w:r>
    </w:p>
    <w:p w14:paraId="2D3447C1" w14:textId="77777777" w:rsidR="00997420" w:rsidRPr="00F413F0" w:rsidRDefault="00997420" w:rsidP="00AD0A1D">
      <w:pPr>
        <w:tabs>
          <w:tab w:val="left" w:pos="5400"/>
        </w:tabs>
        <w:spacing w:after="0" w:line="240" w:lineRule="auto"/>
        <w:ind w:right="49"/>
        <w:jc w:val="both"/>
        <w:rPr>
          <w:rFonts w:eastAsia="Times New Roman" w:cs="Times New Roman"/>
          <w:color w:val="0D0D0D" w:themeColor="text1" w:themeTint="F2"/>
        </w:rPr>
      </w:pPr>
    </w:p>
    <w:p w14:paraId="2D3447C2" w14:textId="72DD215D" w:rsidR="00997420" w:rsidRPr="00F413F0" w:rsidRDefault="00997420" w:rsidP="00AD0A1D">
      <w:pPr>
        <w:tabs>
          <w:tab w:val="left" w:pos="5400"/>
        </w:tabs>
        <w:spacing w:after="0" w:line="240" w:lineRule="auto"/>
        <w:ind w:right="49"/>
        <w:jc w:val="both"/>
        <w:rPr>
          <w:rFonts w:eastAsia="Times New Roman" w:cs="Times New Roman"/>
          <w:color w:val="0D0D0D" w:themeColor="text1" w:themeTint="F2"/>
        </w:rPr>
      </w:pPr>
      <w:r w:rsidRPr="00F413F0">
        <w:rPr>
          <w:rFonts w:eastAsia="Times New Roman" w:cs="Times New Roman"/>
          <w:color w:val="0D0D0D" w:themeColor="text1" w:themeTint="F2"/>
        </w:rPr>
        <w:t>The Board of Governors draw up and apply the criteria for admissions.</w:t>
      </w:r>
      <w:r w:rsidR="00DE4C7C" w:rsidRPr="00F413F0">
        <w:rPr>
          <w:rFonts w:eastAsia="Times New Roman" w:cs="Times New Roman"/>
          <w:color w:val="0D0D0D" w:themeColor="text1" w:themeTint="F2"/>
        </w:rPr>
        <w:t xml:space="preserve"> </w:t>
      </w:r>
    </w:p>
    <w:p w14:paraId="2D3447C3" w14:textId="77777777" w:rsidR="00997420" w:rsidRPr="00F413F0" w:rsidRDefault="00997420" w:rsidP="00AD0A1D">
      <w:pPr>
        <w:tabs>
          <w:tab w:val="left" w:pos="5400"/>
        </w:tabs>
        <w:spacing w:after="0" w:line="240" w:lineRule="auto"/>
        <w:ind w:right="49"/>
        <w:jc w:val="both"/>
        <w:rPr>
          <w:rFonts w:eastAsia="Times New Roman" w:cs="Times New Roman"/>
          <w:color w:val="0D0D0D" w:themeColor="text1" w:themeTint="F2"/>
        </w:rPr>
      </w:pPr>
    </w:p>
    <w:p w14:paraId="2D3447C4" w14:textId="2FE479A1" w:rsidR="00997420" w:rsidRPr="00F413F0" w:rsidRDefault="00997420" w:rsidP="00AD0A1D">
      <w:pPr>
        <w:spacing w:after="0" w:line="240" w:lineRule="auto"/>
        <w:ind w:right="49"/>
        <w:jc w:val="both"/>
        <w:rPr>
          <w:rFonts w:eastAsia="Times New Roman" w:cs="Times New Roman"/>
          <w:b/>
          <w:i/>
          <w:color w:val="0D0D0D" w:themeColor="text1" w:themeTint="F2"/>
        </w:rPr>
      </w:pPr>
      <w:r w:rsidRPr="00F413F0">
        <w:rPr>
          <w:rFonts w:eastAsia="Times New Roman" w:cs="Times New Roman"/>
          <w:b/>
          <w:i/>
          <w:color w:val="0D0D0D" w:themeColor="text1" w:themeTint="F2"/>
        </w:rPr>
        <w:t>ADMISSIONS CRITERIA</w:t>
      </w:r>
    </w:p>
    <w:p w14:paraId="6B1AEE0D" w14:textId="032B5D64" w:rsidR="004C0510" w:rsidRPr="00F413F0" w:rsidRDefault="004C0510" w:rsidP="00AD0A1D">
      <w:pPr>
        <w:spacing w:after="0" w:line="240" w:lineRule="auto"/>
        <w:ind w:right="49"/>
        <w:jc w:val="both"/>
        <w:rPr>
          <w:rFonts w:eastAsia="Times New Roman" w:cs="Times New Roman"/>
          <w:b/>
          <w:i/>
          <w:color w:val="0D0D0D" w:themeColor="text1" w:themeTint="F2"/>
        </w:rPr>
      </w:pPr>
    </w:p>
    <w:p w14:paraId="501FD3FB" w14:textId="13D94AB4" w:rsidR="00182877" w:rsidRDefault="00182877" w:rsidP="00182877">
      <w:pPr>
        <w:pStyle w:val="NoSpacing"/>
        <w:jc w:val="both"/>
        <w:rPr>
          <w:shd w:val="clear" w:color="auto" w:fill="FFFFFF"/>
        </w:rPr>
      </w:pPr>
      <w:r w:rsidRPr="00A23E10">
        <w:rPr>
          <w:shd w:val="clear" w:color="auto" w:fill="FFFFFF"/>
        </w:rPr>
        <w:t>During the admissions procedure when applying the criteria </w:t>
      </w:r>
      <w:r w:rsidRPr="00A23E10">
        <w:rPr>
          <w:u w:val="single"/>
          <w:shd w:val="clear" w:color="auto" w:fill="FFFFFF"/>
        </w:rPr>
        <w:t>punctual applications</w:t>
      </w:r>
      <w:r w:rsidRPr="00A23E10">
        <w:rPr>
          <w:shd w:val="clear" w:color="auto" w:fill="FFFFFF"/>
        </w:rPr>
        <w:t> will be considered before </w:t>
      </w:r>
      <w:r w:rsidRPr="00A23E10">
        <w:rPr>
          <w:u w:val="single"/>
          <w:shd w:val="clear" w:color="auto" w:fill="FFFFFF"/>
        </w:rPr>
        <w:t>late applications</w:t>
      </w:r>
      <w:r w:rsidRPr="00A23E10">
        <w:rPr>
          <w:shd w:val="clear" w:color="auto" w:fill="FFFFFF"/>
        </w:rPr>
        <w:t> are considered.   The application procedure opens on 10 January 2023 at 12noon (GMT) and an application submitted by the closing date of 27 January 2023 at 12noon (GMT) will be treated as a </w:t>
      </w:r>
      <w:r w:rsidRPr="00A23E10">
        <w:rPr>
          <w:u w:val="single"/>
          <w:shd w:val="clear" w:color="auto" w:fill="FFFFFF"/>
        </w:rPr>
        <w:t>punctual application</w:t>
      </w:r>
      <w:r w:rsidRPr="00A23E10">
        <w:rPr>
          <w:shd w:val="clear" w:color="auto" w:fill="FFFFFF"/>
        </w:rPr>
        <w:t>.   An application received after 12noon (GMT) on 27 January 2023 and up to 4 pm on 31 January 2023 will be treated as a </w:t>
      </w:r>
      <w:r w:rsidRPr="00A23E10">
        <w:rPr>
          <w:u w:val="single"/>
          <w:shd w:val="clear" w:color="auto" w:fill="FFFFFF"/>
        </w:rPr>
        <w:t>late application, this is also the last date and time for processing a change of preference in exceptional circumstances</w:t>
      </w:r>
      <w:r w:rsidRPr="00A23E10">
        <w:rPr>
          <w:shd w:val="clear" w:color="auto" w:fill="FFFFFF"/>
        </w:rPr>
        <w:t>.  After 4 pm on 31 January 2023 no applications will be processed until after the close of procedure on 27 April 2023.</w:t>
      </w:r>
    </w:p>
    <w:p w14:paraId="12139730" w14:textId="149BBDF8" w:rsidR="00A23E10" w:rsidRDefault="00A23E10" w:rsidP="00A23E10">
      <w:pPr>
        <w:pStyle w:val="NoSpacing"/>
        <w:jc w:val="both"/>
        <w:rPr>
          <w:shd w:val="clear" w:color="auto" w:fill="FFFFFF"/>
        </w:rPr>
      </w:pPr>
    </w:p>
    <w:p w14:paraId="656915A7" w14:textId="6AA6146F" w:rsidR="00A23E10" w:rsidRDefault="00A23E10" w:rsidP="00A23E10">
      <w:pPr>
        <w:spacing w:after="0"/>
        <w:rPr>
          <w:highlight w:val="cyan"/>
        </w:rPr>
      </w:pPr>
      <w:r>
        <w:rPr>
          <w:highlight w:val="cyan"/>
        </w:rPr>
        <w:t xml:space="preserve">Priority will be given to children who will have attained compulsory school age at the time of their proposed admission, including those children whose parents deferred their admission to primary school in September 2022 as defined by the new School Age (NI) Act (both groups to be treated equally). </w:t>
      </w:r>
    </w:p>
    <w:p w14:paraId="006AE22F" w14:textId="77777777" w:rsidR="00A23E10" w:rsidRPr="00A23E10" w:rsidRDefault="00A23E10" w:rsidP="00A23E10">
      <w:pPr>
        <w:spacing w:after="0"/>
        <w:rPr>
          <w:highlight w:val="cyan"/>
        </w:rPr>
      </w:pPr>
    </w:p>
    <w:p w14:paraId="0119BA66" w14:textId="1F73E238" w:rsidR="00182877" w:rsidRDefault="00A23E10" w:rsidP="00A23E10">
      <w:pPr>
        <w:spacing w:after="0"/>
        <w:rPr>
          <w:highlight w:val="cyan"/>
        </w:rPr>
      </w:pPr>
      <w:r>
        <w:rPr>
          <w:highlight w:val="cyan"/>
        </w:rPr>
        <w:t>Priority will be given to children resident in Northern Ireland at the time of their proposed admission to the school before those who are not so resident.</w:t>
      </w:r>
    </w:p>
    <w:p w14:paraId="3BBA3A37" w14:textId="77777777" w:rsidR="00A23E10" w:rsidRPr="00A23E10" w:rsidRDefault="00A23E10" w:rsidP="00A23E10">
      <w:pPr>
        <w:spacing w:after="0"/>
        <w:rPr>
          <w:highlight w:val="cyan"/>
        </w:rPr>
      </w:pPr>
    </w:p>
    <w:p w14:paraId="531B3995" w14:textId="567CFBEB" w:rsidR="00A23E10" w:rsidRPr="00F413F0" w:rsidRDefault="00997420" w:rsidP="00AD0A1D">
      <w:pPr>
        <w:pStyle w:val="NoSpacing"/>
        <w:jc w:val="both"/>
        <w:rPr>
          <w:rFonts w:eastAsia="Times New Roman" w:cs="Times New Roman"/>
          <w:color w:val="0D0D0D" w:themeColor="text1" w:themeTint="F2"/>
        </w:rPr>
      </w:pPr>
      <w:r w:rsidRPr="00F413F0">
        <w:rPr>
          <w:rFonts w:eastAsia="Times New Roman" w:cs="Times New Roman"/>
          <w:color w:val="0D0D0D" w:themeColor="text1" w:themeTint="F2"/>
        </w:rPr>
        <w:t xml:space="preserve">The Board of Governors will apply the following criteria in the order indicated to identify which children should be admitted either at initial admission to education or on transfer from another school.  </w:t>
      </w:r>
    </w:p>
    <w:p w14:paraId="2D3447C7" w14:textId="77777777" w:rsidR="00997420" w:rsidRPr="00F413F0" w:rsidRDefault="00997420" w:rsidP="00AD0A1D">
      <w:pPr>
        <w:spacing w:after="0" w:line="240" w:lineRule="auto"/>
        <w:ind w:right="49"/>
        <w:jc w:val="both"/>
        <w:rPr>
          <w:rFonts w:eastAsia="Times New Roman" w:cs="Times New Roman"/>
          <w:color w:val="0D0D0D" w:themeColor="text1" w:themeTint="F2"/>
        </w:rPr>
      </w:pPr>
    </w:p>
    <w:p w14:paraId="2D3447C9" w14:textId="566D1F75" w:rsidR="00997420" w:rsidRPr="00F413F0" w:rsidRDefault="00997420" w:rsidP="00AD0A1D">
      <w:pPr>
        <w:numPr>
          <w:ilvl w:val="0"/>
          <w:numId w:val="1"/>
        </w:numPr>
        <w:spacing w:after="0" w:line="240" w:lineRule="auto"/>
        <w:ind w:left="720" w:right="49"/>
        <w:jc w:val="both"/>
        <w:rPr>
          <w:rFonts w:eastAsia="Times New Roman" w:cs="Times New Roman"/>
          <w:color w:val="0D0D0D" w:themeColor="text1" w:themeTint="F2"/>
        </w:rPr>
      </w:pPr>
      <w:r w:rsidRPr="00A23E10">
        <w:rPr>
          <w:rFonts w:eastAsia="Times New Roman" w:cs="Times New Roman"/>
          <w:color w:val="0D0D0D" w:themeColor="text1" w:themeTint="F2"/>
        </w:rPr>
        <w:t>Children who will have brothers or siste</w:t>
      </w:r>
      <w:r w:rsidR="00F35AC3" w:rsidRPr="00A23E10">
        <w:rPr>
          <w:rFonts w:eastAsia="Times New Roman" w:cs="Times New Roman"/>
          <w:color w:val="0D0D0D" w:themeColor="text1" w:themeTint="F2"/>
        </w:rPr>
        <w:t>rs in attendance during the 20</w:t>
      </w:r>
      <w:r w:rsidR="003149EB" w:rsidRPr="00A23E10">
        <w:rPr>
          <w:rFonts w:eastAsia="Times New Roman" w:cs="Times New Roman"/>
          <w:color w:val="0D0D0D" w:themeColor="text1" w:themeTint="F2"/>
        </w:rPr>
        <w:t>2</w:t>
      </w:r>
      <w:r w:rsidR="000F7D7B" w:rsidRPr="00A23E10">
        <w:rPr>
          <w:rFonts w:eastAsia="Times New Roman" w:cs="Times New Roman"/>
          <w:color w:val="0D0D0D" w:themeColor="text1" w:themeTint="F2"/>
        </w:rPr>
        <w:t>2</w:t>
      </w:r>
      <w:r w:rsidR="00F35AC3" w:rsidRPr="00A23E10">
        <w:rPr>
          <w:rFonts w:eastAsia="Times New Roman" w:cs="Times New Roman"/>
          <w:color w:val="0D0D0D" w:themeColor="text1" w:themeTint="F2"/>
        </w:rPr>
        <w:t>/202</w:t>
      </w:r>
      <w:r w:rsidR="000F7D7B" w:rsidRPr="00A23E10">
        <w:rPr>
          <w:rFonts w:eastAsia="Times New Roman" w:cs="Times New Roman"/>
          <w:color w:val="0D0D0D" w:themeColor="text1" w:themeTint="F2"/>
        </w:rPr>
        <w:t>3</w:t>
      </w:r>
      <w:r w:rsidR="00EB7691" w:rsidRPr="00A23E10">
        <w:rPr>
          <w:rFonts w:eastAsia="Times New Roman" w:cs="Times New Roman"/>
          <w:color w:val="0D0D0D" w:themeColor="text1" w:themeTint="F2"/>
        </w:rPr>
        <w:t xml:space="preserve"> s</w:t>
      </w:r>
      <w:r w:rsidRPr="00A23E10">
        <w:rPr>
          <w:rFonts w:eastAsia="Times New Roman" w:cs="Times New Roman"/>
          <w:color w:val="0D0D0D" w:themeColor="text1" w:themeTint="F2"/>
        </w:rPr>
        <w:t>chool</w:t>
      </w:r>
      <w:r w:rsidRPr="00F413F0">
        <w:rPr>
          <w:rFonts w:eastAsia="Times New Roman" w:cs="Times New Roman"/>
          <w:color w:val="0D0D0D" w:themeColor="text1" w:themeTint="F2"/>
        </w:rPr>
        <w:t xml:space="preserve"> </w:t>
      </w:r>
      <w:r w:rsidR="00EB7691" w:rsidRPr="00F413F0">
        <w:rPr>
          <w:rFonts w:eastAsia="Times New Roman" w:cs="Times New Roman"/>
          <w:color w:val="0D0D0D" w:themeColor="text1" w:themeTint="F2"/>
        </w:rPr>
        <w:t>y</w:t>
      </w:r>
      <w:r w:rsidRPr="00F413F0">
        <w:rPr>
          <w:rFonts w:eastAsia="Times New Roman" w:cs="Times New Roman"/>
          <w:color w:val="0D0D0D" w:themeColor="text1" w:themeTint="F2"/>
        </w:rPr>
        <w:t>ear.</w:t>
      </w:r>
    </w:p>
    <w:p w14:paraId="2D3447CA" w14:textId="77777777" w:rsidR="00997420" w:rsidRPr="00F413F0" w:rsidRDefault="00997420" w:rsidP="00AD0A1D">
      <w:pPr>
        <w:numPr>
          <w:ilvl w:val="0"/>
          <w:numId w:val="1"/>
        </w:numPr>
        <w:spacing w:after="0" w:line="240" w:lineRule="auto"/>
        <w:ind w:left="720" w:right="49"/>
        <w:jc w:val="both"/>
        <w:rPr>
          <w:rFonts w:eastAsia="Times New Roman" w:cs="Times New Roman"/>
          <w:color w:val="0D0D0D" w:themeColor="text1" w:themeTint="F2"/>
        </w:rPr>
      </w:pPr>
      <w:r w:rsidRPr="00F413F0">
        <w:rPr>
          <w:rFonts w:eastAsia="Times New Roman" w:cs="Times New Roman"/>
          <w:color w:val="0D0D0D" w:themeColor="text1" w:themeTint="F2"/>
        </w:rPr>
        <w:t>Children whose brothers and sisters previously attended the school.</w:t>
      </w:r>
    </w:p>
    <w:p w14:paraId="2D3447CB" w14:textId="77777777" w:rsidR="00997420" w:rsidRPr="00F413F0" w:rsidRDefault="00997420" w:rsidP="00AD0A1D">
      <w:pPr>
        <w:numPr>
          <w:ilvl w:val="0"/>
          <w:numId w:val="1"/>
        </w:numPr>
        <w:spacing w:after="0" w:line="240" w:lineRule="auto"/>
        <w:ind w:left="720" w:right="49"/>
        <w:jc w:val="both"/>
        <w:rPr>
          <w:rFonts w:eastAsia="Times New Roman" w:cs="Times New Roman"/>
          <w:color w:val="0D0D0D" w:themeColor="text1" w:themeTint="F2"/>
        </w:rPr>
      </w:pPr>
      <w:r w:rsidRPr="00F413F0">
        <w:rPr>
          <w:rFonts w:eastAsia="Times New Roman" w:cs="Times New Roman"/>
          <w:color w:val="0D0D0D" w:themeColor="text1" w:themeTint="F2"/>
        </w:rPr>
        <w:t xml:space="preserve">Sons or daughters of permanent employees at the school. </w:t>
      </w:r>
    </w:p>
    <w:p w14:paraId="2D3447CC" w14:textId="77777777" w:rsidR="00997420" w:rsidRPr="00F413F0" w:rsidRDefault="00997420" w:rsidP="00AD0A1D">
      <w:pPr>
        <w:numPr>
          <w:ilvl w:val="0"/>
          <w:numId w:val="1"/>
        </w:numPr>
        <w:spacing w:after="0" w:line="240" w:lineRule="auto"/>
        <w:ind w:left="720" w:right="49"/>
        <w:jc w:val="both"/>
        <w:rPr>
          <w:rFonts w:eastAsia="Times New Roman" w:cs="Times New Roman"/>
          <w:color w:val="0D0D0D" w:themeColor="text1" w:themeTint="F2"/>
        </w:rPr>
      </w:pPr>
      <w:r w:rsidRPr="00F413F0">
        <w:rPr>
          <w:rFonts w:eastAsia="Times New Roman" w:cs="Times New Roman"/>
          <w:color w:val="0D0D0D" w:themeColor="text1" w:themeTint="F2"/>
        </w:rPr>
        <w:t>Children for whom the school is the controlled primary school nearest to their home.</w:t>
      </w:r>
    </w:p>
    <w:p w14:paraId="2D3447CD" w14:textId="77777777" w:rsidR="00997420" w:rsidRPr="00F413F0" w:rsidRDefault="00997420" w:rsidP="00AD0A1D">
      <w:pPr>
        <w:numPr>
          <w:ilvl w:val="0"/>
          <w:numId w:val="1"/>
        </w:numPr>
        <w:spacing w:after="0" w:line="240" w:lineRule="auto"/>
        <w:ind w:left="720" w:right="49"/>
        <w:jc w:val="both"/>
        <w:rPr>
          <w:rFonts w:eastAsia="Times New Roman" w:cs="Times New Roman"/>
          <w:color w:val="0D0D0D" w:themeColor="text1" w:themeTint="F2"/>
        </w:rPr>
      </w:pPr>
      <w:r w:rsidRPr="00F413F0">
        <w:rPr>
          <w:rFonts w:eastAsia="Times New Roman" w:cs="Times New Roman"/>
          <w:color w:val="0D0D0D" w:themeColor="text1" w:themeTint="F2"/>
        </w:rPr>
        <w:t>Children of former pupils of the school.</w:t>
      </w:r>
    </w:p>
    <w:p w14:paraId="2D3447CE" w14:textId="4615E5D9" w:rsidR="00997420" w:rsidRPr="00BD47FF" w:rsidRDefault="00A23E10" w:rsidP="00AD0A1D">
      <w:pPr>
        <w:spacing w:after="0" w:line="240" w:lineRule="auto"/>
        <w:ind w:left="720" w:right="49" w:hanging="720"/>
        <w:jc w:val="both"/>
        <w:rPr>
          <w:rFonts w:eastAsia="Times New Roman" w:cs="Times New Roman"/>
          <w:color w:val="0D0D0D" w:themeColor="text1" w:themeTint="F2"/>
        </w:rPr>
      </w:pPr>
      <w:r>
        <w:rPr>
          <w:rFonts w:eastAsia="Times New Roman" w:cs="Times New Roman"/>
          <w:color w:val="0D0D0D" w:themeColor="text1" w:themeTint="F2"/>
        </w:rPr>
        <w:t>6</w:t>
      </w:r>
      <w:r w:rsidR="00997420" w:rsidRPr="00F413F0">
        <w:rPr>
          <w:rFonts w:eastAsia="Times New Roman" w:cs="Times New Roman"/>
          <w:color w:val="0D0D0D" w:themeColor="text1" w:themeTint="F2"/>
        </w:rPr>
        <w:tab/>
        <w:t>Children with special circumstances (social, medical or security).  The special circumstances must be made known at the time of application.  The Board of Governors reserves the right to seek confirmation of the special circumstances from a statutory body.</w:t>
      </w:r>
    </w:p>
    <w:p w14:paraId="2D3447CF" w14:textId="436184F3" w:rsidR="00997420" w:rsidRPr="00BD47FF" w:rsidRDefault="00A23E10" w:rsidP="00AD0A1D">
      <w:pPr>
        <w:spacing w:after="0" w:line="240" w:lineRule="auto"/>
        <w:ind w:left="720" w:right="49" w:hanging="720"/>
        <w:jc w:val="both"/>
        <w:rPr>
          <w:rFonts w:eastAsia="Times New Roman" w:cs="Times New Roman"/>
          <w:color w:val="0D0D0D" w:themeColor="text1" w:themeTint="F2"/>
          <w:lang w:val="en-US"/>
        </w:rPr>
      </w:pPr>
      <w:r>
        <w:rPr>
          <w:rFonts w:eastAsia="Times New Roman" w:cs="Times New Roman"/>
          <w:color w:val="0D0D0D" w:themeColor="text1" w:themeTint="F2"/>
          <w:lang w:val="en-US"/>
        </w:rPr>
        <w:t>7</w:t>
      </w:r>
      <w:r w:rsidR="00997420" w:rsidRPr="00BD47FF">
        <w:rPr>
          <w:rFonts w:eastAsia="Times New Roman" w:cs="Times New Roman"/>
          <w:color w:val="0D0D0D" w:themeColor="text1" w:themeTint="F2"/>
          <w:lang w:val="en-US"/>
        </w:rPr>
        <w:tab/>
        <w:t xml:space="preserve">The remaining places will be allocated </w:t>
      </w:r>
      <w:proofErr w:type="gramStart"/>
      <w:r w:rsidR="00997420" w:rsidRPr="00BD47FF">
        <w:rPr>
          <w:rFonts w:eastAsia="Times New Roman" w:cs="Times New Roman"/>
          <w:color w:val="0D0D0D" w:themeColor="text1" w:themeTint="F2"/>
          <w:lang w:val="en-US"/>
        </w:rPr>
        <w:t>on the basis of</w:t>
      </w:r>
      <w:proofErr w:type="gramEnd"/>
      <w:r w:rsidR="00997420" w:rsidRPr="00BD47FF">
        <w:rPr>
          <w:rFonts w:eastAsia="Times New Roman" w:cs="Times New Roman"/>
          <w:color w:val="0D0D0D" w:themeColor="text1" w:themeTint="F2"/>
          <w:lang w:val="en-US"/>
        </w:rPr>
        <w:t xml:space="preserve"> the proximity of the child's home to the school, priority being given to those living nearest to the school as measured by the shortest driving distance.</w:t>
      </w:r>
    </w:p>
    <w:p w14:paraId="2D3447D0" w14:textId="77777777" w:rsidR="00997420" w:rsidRPr="00BD47FF" w:rsidRDefault="00997420" w:rsidP="00AD0A1D">
      <w:pPr>
        <w:spacing w:after="0" w:line="240" w:lineRule="auto"/>
        <w:ind w:left="720" w:right="49" w:hanging="720"/>
        <w:jc w:val="both"/>
        <w:rPr>
          <w:rFonts w:eastAsia="Times New Roman" w:cs="Times New Roman"/>
          <w:color w:val="0D0D0D" w:themeColor="text1" w:themeTint="F2"/>
          <w:lang w:val="en-US"/>
        </w:rPr>
      </w:pPr>
    </w:p>
    <w:p w14:paraId="2D3447D1" w14:textId="2D1C73B2" w:rsidR="00997420" w:rsidRPr="00BD47FF" w:rsidRDefault="00997420" w:rsidP="00AD0A1D">
      <w:pPr>
        <w:spacing w:after="0" w:line="240" w:lineRule="auto"/>
        <w:ind w:right="49"/>
        <w:jc w:val="both"/>
        <w:rPr>
          <w:rFonts w:eastAsia="Times New Roman" w:cs="Times New Roman"/>
          <w:color w:val="0D0D0D" w:themeColor="text1" w:themeTint="F2"/>
        </w:rPr>
      </w:pPr>
      <w:r w:rsidRPr="00BD47FF">
        <w:rPr>
          <w:rFonts w:eastAsia="Times New Roman" w:cs="Times New Roman"/>
          <w:color w:val="0D0D0D" w:themeColor="text1" w:themeTint="F2"/>
        </w:rPr>
        <w:t xml:space="preserve">Criterion </w:t>
      </w:r>
      <w:r w:rsidR="00A23E10">
        <w:rPr>
          <w:rFonts w:eastAsia="Times New Roman" w:cs="Times New Roman"/>
          <w:color w:val="0D0D0D" w:themeColor="text1" w:themeTint="F2"/>
        </w:rPr>
        <w:t>7</w:t>
      </w:r>
      <w:r w:rsidRPr="00BD47FF">
        <w:rPr>
          <w:rFonts w:eastAsia="Times New Roman" w:cs="Times New Roman"/>
          <w:color w:val="0D0D0D" w:themeColor="text1" w:themeTint="F2"/>
        </w:rPr>
        <w:t xml:space="preserve"> will also be used to discriminate within any oversubscribed criterion (except criterion 1).</w:t>
      </w:r>
    </w:p>
    <w:p w14:paraId="2D3447D2" w14:textId="77777777" w:rsidR="00997420" w:rsidRPr="00BD47FF" w:rsidRDefault="00997420" w:rsidP="00AD0A1D">
      <w:pPr>
        <w:spacing w:after="0" w:line="240" w:lineRule="auto"/>
        <w:ind w:right="49"/>
        <w:jc w:val="both"/>
        <w:rPr>
          <w:rFonts w:eastAsia="Times New Roman" w:cs="Times New Roman"/>
          <w:color w:val="0D0D0D" w:themeColor="text1" w:themeTint="F2"/>
        </w:rPr>
      </w:pPr>
    </w:p>
    <w:p w14:paraId="2D3447D3" w14:textId="77777777" w:rsidR="00997420" w:rsidRPr="00BD47FF" w:rsidRDefault="00997420" w:rsidP="00AD0A1D">
      <w:pPr>
        <w:spacing w:after="0" w:line="240" w:lineRule="auto"/>
        <w:ind w:right="49"/>
        <w:jc w:val="both"/>
        <w:rPr>
          <w:rFonts w:eastAsia="Times New Roman" w:cs="Times New Roman"/>
          <w:b/>
          <w:i/>
          <w:color w:val="0D0D0D" w:themeColor="text1" w:themeTint="F2"/>
        </w:rPr>
      </w:pPr>
      <w:r w:rsidRPr="00BD47FF">
        <w:rPr>
          <w:rFonts w:eastAsia="Times New Roman" w:cs="Times New Roman"/>
          <w:b/>
          <w:i/>
          <w:color w:val="0D0D0D" w:themeColor="text1" w:themeTint="F2"/>
        </w:rPr>
        <w:t>DUTY TO VERIFY</w:t>
      </w:r>
    </w:p>
    <w:p w14:paraId="2D3447D4" w14:textId="77777777" w:rsidR="00997420" w:rsidRPr="00BD47FF" w:rsidRDefault="00997420" w:rsidP="00AD0A1D">
      <w:pPr>
        <w:tabs>
          <w:tab w:val="left" w:pos="792"/>
        </w:tabs>
        <w:spacing w:after="0" w:line="240" w:lineRule="auto"/>
        <w:jc w:val="both"/>
        <w:rPr>
          <w:rFonts w:eastAsia="Times New Roman" w:cs="Times New Roman"/>
          <w:color w:val="0D0D0D" w:themeColor="text1" w:themeTint="F2"/>
        </w:rPr>
      </w:pPr>
    </w:p>
    <w:p w14:paraId="2D3447D5" w14:textId="4A63A3F3" w:rsidR="00997420" w:rsidRPr="00BD47FF" w:rsidRDefault="00997420" w:rsidP="00AD0A1D">
      <w:pPr>
        <w:tabs>
          <w:tab w:val="left" w:pos="792"/>
        </w:tabs>
        <w:spacing w:after="0" w:line="240" w:lineRule="auto"/>
        <w:jc w:val="both"/>
        <w:rPr>
          <w:rFonts w:eastAsia="Times New Roman" w:cs="Times New Roman"/>
          <w:color w:val="0D0D0D" w:themeColor="text1" w:themeTint="F2"/>
        </w:rPr>
      </w:pPr>
      <w:r w:rsidRPr="00BD47FF">
        <w:rPr>
          <w:rFonts w:eastAsia="Times New Roman" w:cs="Times New Roman"/>
          <w:color w:val="0D0D0D" w:themeColor="text1" w:themeTint="F2"/>
        </w:rPr>
        <w:t>The Board of Governors reserves the right to require such supplementary evidence as it may determine to support or verify inf</w:t>
      </w:r>
      <w:r w:rsidR="00795F8F">
        <w:rPr>
          <w:rFonts w:eastAsia="Times New Roman" w:cs="Times New Roman"/>
          <w:color w:val="0D0D0D" w:themeColor="text1" w:themeTint="F2"/>
        </w:rPr>
        <w:t>ormation on any application</w:t>
      </w:r>
      <w:r w:rsidRPr="00BD47FF">
        <w:rPr>
          <w:rFonts w:eastAsia="Times New Roman" w:cs="Times New Roman"/>
          <w:color w:val="0D0D0D" w:themeColor="text1" w:themeTint="F2"/>
        </w:rPr>
        <w:t>.</w:t>
      </w:r>
    </w:p>
    <w:p w14:paraId="2D3447D6" w14:textId="77777777" w:rsidR="00997420" w:rsidRPr="00BD47FF" w:rsidRDefault="00997420" w:rsidP="00AD0A1D">
      <w:pPr>
        <w:tabs>
          <w:tab w:val="left" w:pos="792"/>
        </w:tabs>
        <w:spacing w:after="0" w:line="240" w:lineRule="auto"/>
        <w:jc w:val="both"/>
        <w:rPr>
          <w:rFonts w:eastAsia="Times New Roman" w:cs="Times New Roman"/>
          <w:color w:val="0D0D0D" w:themeColor="text1" w:themeTint="F2"/>
        </w:rPr>
      </w:pPr>
    </w:p>
    <w:p w14:paraId="2D3447D8" w14:textId="378F2FD5" w:rsidR="00997420" w:rsidRPr="00BD47FF" w:rsidRDefault="00997420" w:rsidP="00A23E10">
      <w:pPr>
        <w:tabs>
          <w:tab w:val="left" w:pos="792"/>
        </w:tabs>
        <w:spacing w:after="0" w:line="240" w:lineRule="auto"/>
        <w:jc w:val="both"/>
        <w:rPr>
          <w:rFonts w:eastAsia="Times New Roman" w:cs="Times New Roman"/>
          <w:color w:val="0D0D0D" w:themeColor="text1" w:themeTint="F2"/>
        </w:rPr>
      </w:pPr>
      <w:r w:rsidRPr="00BD47FF">
        <w:rPr>
          <w:rFonts w:eastAsia="Times New Roman" w:cs="Times New Roman"/>
          <w:color w:val="0D0D0D" w:themeColor="text1" w:themeTint="F2"/>
        </w:rPr>
        <w:t xml:space="preserve">If the requested evidence is not provided to the Board of Governors by the deadline given, this will result in the withdrawal of an offer of a place. Similarly, if information is supplied which appears to be false or misleading in any material way, the offer of a place will be withdrawn. </w:t>
      </w:r>
    </w:p>
    <w:p w14:paraId="2D3447D9" w14:textId="77777777" w:rsidR="00997420" w:rsidRPr="00BD47FF" w:rsidRDefault="00997420" w:rsidP="00997420">
      <w:pPr>
        <w:spacing w:after="0" w:line="240" w:lineRule="auto"/>
        <w:jc w:val="both"/>
        <w:rPr>
          <w:rFonts w:eastAsia="Times New Roman" w:cs="Times New Roman"/>
          <w:b/>
          <w:i/>
          <w:color w:val="0D0D0D" w:themeColor="text1" w:themeTint="F2"/>
        </w:rPr>
      </w:pPr>
      <w:r w:rsidRPr="00BD47FF">
        <w:rPr>
          <w:rFonts w:eastAsia="Times New Roman" w:cs="Times New Roman"/>
          <w:b/>
          <w:i/>
          <w:color w:val="0D0D0D" w:themeColor="text1" w:themeTint="F2"/>
        </w:rPr>
        <w:lastRenderedPageBreak/>
        <w:t>WAITING LIST POLICY</w:t>
      </w:r>
    </w:p>
    <w:p w14:paraId="2D3447DA" w14:textId="7B82279B" w:rsidR="00997420" w:rsidRPr="00BD47FF" w:rsidRDefault="00645CF4" w:rsidP="00645CF4">
      <w:pPr>
        <w:tabs>
          <w:tab w:val="left" w:pos="9240"/>
        </w:tabs>
        <w:spacing w:after="0" w:line="240" w:lineRule="auto"/>
        <w:jc w:val="both"/>
        <w:rPr>
          <w:rFonts w:eastAsia="Times New Roman" w:cs="Times New Roman"/>
          <w:b/>
          <w:i/>
          <w:color w:val="0D0D0D" w:themeColor="text1" w:themeTint="F2"/>
        </w:rPr>
      </w:pPr>
      <w:r>
        <w:rPr>
          <w:rFonts w:eastAsia="Times New Roman" w:cs="Times New Roman"/>
          <w:b/>
          <w:i/>
          <w:color w:val="0D0D0D" w:themeColor="text1" w:themeTint="F2"/>
        </w:rPr>
        <w:tab/>
      </w:r>
    </w:p>
    <w:p w14:paraId="2D3447DB" w14:textId="1EB06C47" w:rsidR="00997420" w:rsidRDefault="00997420" w:rsidP="00997420">
      <w:pPr>
        <w:spacing w:after="0" w:line="240" w:lineRule="auto"/>
        <w:jc w:val="both"/>
        <w:rPr>
          <w:rFonts w:eastAsia="Times New Roman" w:cs="Times New Roman"/>
          <w:color w:val="0D0D0D" w:themeColor="text1" w:themeTint="F2"/>
        </w:rPr>
      </w:pPr>
      <w:r w:rsidRPr="00BD47FF">
        <w:rPr>
          <w:rFonts w:eastAsia="Times New Roman" w:cs="Times New Roman"/>
          <w:color w:val="0D0D0D" w:themeColor="text1" w:themeTint="F2"/>
        </w:rPr>
        <w:t xml:space="preserve">We do not operate a </w:t>
      </w:r>
      <w:r w:rsidR="00EB7691">
        <w:rPr>
          <w:rFonts w:eastAsia="Times New Roman" w:cs="Times New Roman"/>
          <w:color w:val="0D0D0D" w:themeColor="text1" w:themeTint="F2"/>
        </w:rPr>
        <w:t>W</w:t>
      </w:r>
      <w:r w:rsidRPr="00BD47FF">
        <w:rPr>
          <w:rFonts w:eastAsia="Times New Roman" w:cs="Times New Roman"/>
          <w:color w:val="0D0D0D" w:themeColor="text1" w:themeTint="F2"/>
        </w:rPr>
        <w:t xml:space="preserve">aiting </w:t>
      </w:r>
      <w:r w:rsidR="00EB7691">
        <w:rPr>
          <w:rFonts w:eastAsia="Times New Roman" w:cs="Times New Roman"/>
          <w:color w:val="0D0D0D" w:themeColor="text1" w:themeTint="F2"/>
        </w:rPr>
        <w:t>L</w:t>
      </w:r>
      <w:r w:rsidRPr="00BD47FF">
        <w:rPr>
          <w:rFonts w:eastAsia="Times New Roman" w:cs="Times New Roman"/>
          <w:color w:val="0D0D0D" w:themeColor="text1" w:themeTint="F2"/>
        </w:rPr>
        <w:t xml:space="preserve">ist </w:t>
      </w:r>
      <w:r w:rsidR="00EB7691">
        <w:rPr>
          <w:rFonts w:eastAsia="Times New Roman" w:cs="Times New Roman"/>
          <w:color w:val="0D0D0D" w:themeColor="text1" w:themeTint="F2"/>
        </w:rPr>
        <w:t>P</w:t>
      </w:r>
      <w:r w:rsidRPr="00BD47FF">
        <w:rPr>
          <w:rFonts w:eastAsia="Times New Roman" w:cs="Times New Roman"/>
          <w:color w:val="0D0D0D" w:themeColor="text1" w:themeTint="F2"/>
        </w:rPr>
        <w:t>olicy.</w:t>
      </w:r>
    </w:p>
    <w:p w14:paraId="14EE186B" w14:textId="77777777" w:rsidR="00182877" w:rsidRDefault="00182877" w:rsidP="00BD47FF">
      <w:pPr>
        <w:tabs>
          <w:tab w:val="left" w:pos="792"/>
        </w:tabs>
        <w:spacing w:after="0" w:line="240" w:lineRule="auto"/>
        <w:jc w:val="both"/>
        <w:rPr>
          <w:rFonts w:eastAsia="Times New Roman" w:cs="Times New Roman"/>
          <w:b/>
          <w:i/>
          <w:color w:val="0D0D0D" w:themeColor="text1" w:themeTint="F2"/>
        </w:rPr>
      </w:pPr>
    </w:p>
    <w:p w14:paraId="412EB37A" w14:textId="13B22F87" w:rsidR="00182877" w:rsidRDefault="00997420" w:rsidP="00BD47FF">
      <w:pPr>
        <w:tabs>
          <w:tab w:val="left" w:pos="792"/>
        </w:tabs>
        <w:spacing w:after="0" w:line="240" w:lineRule="auto"/>
        <w:jc w:val="both"/>
        <w:rPr>
          <w:rFonts w:eastAsia="Times New Roman" w:cs="Times New Roman"/>
          <w:b/>
          <w:color w:val="0D0D0D" w:themeColor="text1" w:themeTint="F2"/>
        </w:rPr>
      </w:pPr>
      <w:r w:rsidRPr="00BD47FF">
        <w:rPr>
          <w:rFonts w:eastAsia="Times New Roman" w:cs="Times New Roman"/>
          <w:b/>
          <w:i/>
          <w:color w:val="0D0D0D" w:themeColor="text1" w:themeTint="F2"/>
        </w:rPr>
        <w:t>ADMISSION TO P2-P7</w:t>
      </w:r>
      <w:r w:rsidR="000D6E86" w:rsidRPr="00BD47FF">
        <w:rPr>
          <w:rFonts w:eastAsia="Times New Roman" w:cs="Times New Roman"/>
          <w:b/>
          <w:color w:val="0D0D0D" w:themeColor="text1" w:themeTint="F2"/>
        </w:rPr>
        <w:tab/>
      </w:r>
    </w:p>
    <w:p w14:paraId="35D600B2" w14:textId="77777777" w:rsidR="00182877" w:rsidRPr="00BD47FF" w:rsidRDefault="00182877" w:rsidP="00BD47FF">
      <w:pPr>
        <w:tabs>
          <w:tab w:val="left" w:pos="792"/>
        </w:tabs>
        <w:spacing w:after="0" w:line="240" w:lineRule="auto"/>
        <w:jc w:val="both"/>
        <w:rPr>
          <w:rFonts w:eastAsia="Times New Roman" w:cs="Times New Roman"/>
          <w:b/>
          <w:color w:val="0D0D0D" w:themeColor="text1" w:themeTint="F2"/>
        </w:rPr>
      </w:pPr>
    </w:p>
    <w:p w14:paraId="2D3447F3" w14:textId="497F18B9" w:rsidR="003927FA" w:rsidRDefault="00997420" w:rsidP="00997420">
      <w:pPr>
        <w:tabs>
          <w:tab w:val="left" w:pos="792"/>
        </w:tabs>
        <w:spacing w:after="0" w:line="240" w:lineRule="auto"/>
        <w:jc w:val="both"/>
        <w:rPr>
          <w:rFonts w:eastAsia="Times New Roman" w:cs="Times New Roman"/>
          <w:color w:val="0D0D0D" w:themeColor="text1" w:themeTint="F2"/>
        </w:rPr>
      </w:pPr>
      <w:r w:rsidRPr="00BD47FF">
        <w:rPr>
          <w:rFonts w:eastAsia="Times New Roman" w:cs="Times New Roman"/>
          <w:color w:val="0D0D0D" w:themeColor="text1" w:themeTint="F2"/>
        </w:rPr>
        <w:t>If oversubscribed, criteria for admission to P1 will be used</w:t>
      </w:r>
      <w:r w:rsidR="003927FA" w:rsidRPr="00BD47FF">
        <w:rPr>
          <w:rFonts w:eastAsia="Times New Roman" w:cs="Times New Roman"/>
          <w:color w:val="0D0D0D" w:themeColor="text1" w:themeTint="F2"/>
        </w:rPr>
        <w:t>.</w:t>
      </w:r>
    </w:p>
    <w:p w14:paraId="2BE43CA9" w14:textId="6DF7F5DC" w:rsidR="00182877" w:rsidRDefault="00182877" w:rsidP="00997420">
      <w:pPr>
        <w:tabs>
          <w:tab w:val="left" w:pos="792"/>
        </w:tabs>
        <w:spacing w:after="0" w:line="240" w:lineRule="auto"/>
        <w:jc w:val="both"/>
        <w:rPr>
          <w:rFonts w:eastAsia="Times New Roman" w:cs="Times New Roman"/>
          <w:color w:val="0D0D0D" w:themeColor="text1" w:themeTint="F2"/>
        </w:rPr>
      </w:pPr>
    </w:p>
    <w:tbl>
      <w:tblPr>
        <w:tblStyle w:val="TableGrid"/>
        <w:tblpPr w:leftFromText="180" w:rightFromText="180" w:vertAnchor="page" w:horzAnchor="margin" w:tblpXSpec="center" w:tblpY="3271"/>
        <w:tblW w:w="6374" w:type="dxa"/>
        <w:tblLayout w:type="fixed"/>
        <w:tblLook w:val="04A0" w:firstRow="1" w:lastRow="0" w:firstColumn="1" w:lastColumn="0" w:noHBand="0" w:noVBand="1"/>
      </w:tblPr>
      <w:tblGrid>
        <w:gridCol w:w="1951"/>
        <w:gridCol w:w="1910"/>
        <w:gridCol w:w="2513"/>
      </w:tblGrid>
      <w:tr w:rsidR="00A23E10" w:rsidRPr="00BD47FF" w14:paraId="02F6089F" w14:textId="77777777" w:rsidTr="00A23E10">
        <w:tc>
          <w:tcPr>
            <w:tcW w:w="6374" w:type="dxa"/>
            <w:gridSpan w:val="3"/>
            <w:shd w:val="clear" w:color="auto" w:fill="D9D9D9" w:themeFill="background1" w:themeFillShade="D9"/>
          </w:tcPr>
          <w:p w14:paraId="07527F9B" w14:textId="77777777" w:rsidR="00A23E10" w:rsidRPr="00BD47FF" w:rsidRDefault="00A23E10" w:rsidP="00A23E10">
            <w:pPr>
              <w:ind w:right="5"/>
              <w:jc w:val="center"/>
              <w:rPr>
                <w:rFonts w:eastAsia="Times New Roman"/>
                <w:b/>
                <w:color w:val="0D0D0D" w:themeColor="text1" w:themeTint="F2"/>
              </w:rPr>
            </w:pPr>
            <w:r w:rsidRPr="00BD47FF">
              <w:rPr>
                <w:rFonts w:eastAsia="Times New Roman"/>
                <w:b/>
                <w:color w:val="0D0D0D" w:themeColor="text1" w:themeTint="F2"/>
              </w:rPr>
              <w:t>APPLICATIONS AND ADMISSIONS TO PRIMARY 1</w:t>
            </w:r>
          </w:p>
        </w:tc>
      </w:tr>
      <w:tr w:rsidR="00A23E10" w:rsidRPr="00BD47FF" w14:paraId="128FA6E0" w14:textId="77777777" w:rsidTr="00A23E10">
        <w:tc>
          <w:tcPr>
            <w:tcW w:w="1951" w:type="dxa"/>
          </w:tcPr>
          <w:p w14:paraId="33B56ECA" w14:textId="77777777" w:rsidR="00A23E10" w:rsidRPr="00BD47FF" w:rsidRDefault="00A23E10" w:rsidP="00A23E10">
            <w:pPr>
              <w:ind w:right="5"/>
              <w:jc w:val="center"/>
              <w:rPr>
                <w:rFonts w:eastAsia="Times New Roman"/>
                <w:b/>
                <w:color w:val="0D0D0D" w:themeColor="text1" w:themeTint="F2"/>
              </w:rPr>
            </w:pPr>
            <w:r w:rsidRPr="00BD47FF">
              <w:rPr>
                <w:rFonts w:eastAsia="Times New Roman"/>
                <w:b/>
                <w:color w:val="0D0D0D" w:themeColor="text1" w:themeTint="F2"/>
              </w:rPr>
              <w:t>Year</w:t>
            </w:r>
          </w:p>
        </w:tc>
        <w:tc>
          <w:tcPr>
            <w:tcW w:w="1910" w:type="dxa"/>
          </w:tcPr>
          <w:p w14:paraId="5268099C" w14:textId="77777777" w:rsidR="00A23E10" w:rsidRPr="00BD47FF" w:rsidRDefault="00A23E10" w:rsidP="00A23E10">
            <w:pPr>
              <w:ind w:right="5"/>
              <w:jc w:val="center"/>
              <w:rPr>
                <w:rFonts w:eastAsia="Times New Roman"/>
                <w:b/>
                <w:color w:val="0D0D0D" w:themeColor="text1" w:themeTint="F2"/>
              </w:rPr>
            </w:pPr>
            <w:r w:rsidRPr="00BD47FF">
              <w:rPr>
                <w:rFonts w:eastAsia="Times New Roman"/>
                <w:b/>
                <w:color w:val="0D0D0D" w:themeColor="text1" w:themeTint="F2"/>
              </w:rPr>
              <w:t>Total Applications</w:t>
            </w:r>
          </w:p>
        </w:tc>
        <w:tc>
          <w:tcPr>
            <w:tcW w:w="2513" w:type="dxa"/>
          </w:tcPr>
          <w:p w14:paraId="7C45886D" w14:textId="77777777" w:rsidR="00A23E10" w:rsidRPr="00BD47FF" w:rsidRDefault="00A23E10" w:rsidP="00A23E10">
            <w:pPr>
              <w:ind w:right="5"/>
              <w:jc w:val="center"/>
              <w:rPr>
                <w:rFonts w:eastAsia="Times New Roman"/>
                <w:b/>
                <w:color w:val="0D0D0D" w:themeColor="text1" w:themeTint="F2"/>
              </w:rPr>
            </w:pPr>
            <w:r w:rsidRPr="00BD47FF">
              <w:rPr>
                <w:rFonts w:eastAsia="Times New Roman"/>
                <w:b/>
                <w:color w:val="0D0D0D" w:themeColor="text1" w:themeTint="F2"/>
              </w:rPr>
              <w:t xml:space="preserve">Total Admissions </w:t>
            </w:r>
          </w:p>
        </w:tc>
      </w:tr>
      <w:tr w:rsidR="00A23E10" w:rsidRPr="00BD47FF" w14:paraId="0C369F5B" w14:textId="77777777" w:rsidTr="00A23E10">
        <w:tc>
          <w:tcPr>
            <w:tcW w:w="1951" w:type="dxa"/>
            <w:shd w:val="clear" w:color="auto" w:fill="auto"/>
          </w:tcPr>
          <w:p w14:paraId="2C019ACB" w14:textId="77777777" w:rsidR="00A23E10" w:rsidRPr="006D587E" w:rsidRDefault="00A23E10" w:rsidP="00A23E10">
            <w:pPr>
              <w:ind w:right="5"/>
              <w:jc w:val="center"/>
              <w:rPr>
                <w:rFonts w:eastAsia="Times New Roman"/>
                <w:b/>
                <w:color w:val="0D0D0D" w:themeColor="text1" w:themeTint="F2"/>
              </w:rPr>
            </w:pPr>
            <w:r w:rsidRPr="00F413F0">
              <w:rPr>
                <w:rFonts w:eastAsia="Times New Roman"/>
                <w:b/>
                <w:color w:val="0D0D0D" w:themeColor="text1" w:themeTint="F2"/>
              </w:rPr>
              <w:t>2020/2021</w:t>
            </w:r>
          </w:p>
        </w:tc>
        <w:tc>
          <w:tcPr>
            <w:tcW w:w="1910" w:type="dxa"/>
            <w:shd w:val="clear" w:color="auto" w:fill="auto"/>
          </w:tcPr>
          <w:p w14:paraId="549C3928"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10</w:t>
            </w:r>
          </w:p>
        </w:tc>
        <w:tc>
          <w:tcPr>
            <w:tcW w:w="2513" w:type="dxa"/>
            <w:shd w:val="clear" w:color="auto" w:fill="auto"/>
          </w:tcPr>
          <w:p w14:paraId="0849A474"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10</w:t>
            </w:r>
          </w:p>
        </w:tc>
      </w:tr>
      <w:tr w:rsidR="00A23E10" w:rsidRPr="00BD47FF" w14:paraId="5DE01923" w14:textId="77777777" w:rsidTr="00A23E10">
        <w:tc>
          <w:tcPr>
            <w:tcW w:w="1951" w:type="dxa"/>
            <w:shd w:val="clear" w:color="auto" w:fill="auto"/>
          </w:tcPr>
          <w:p w14:paraId="268C15CA" w14:textId="77777777" w:rsidR="00A23E10" w:rsidRPr="00F413F0" w:rsidRDefault="00A23E10" w:rsidP="00A23E10">
            <w:pPr>
              <w:ind w:right="5"/>
              <w:jc w:val="center"/>
              <w:rPr>
                <w:rFonts w:eastAsia="Times New Roman"/>
                <w:b/>
                <w:color w:val="0D0D0D" w:themeColor="text1" w:themeTint="F2"/>
              </w:rPr>
            </w:pPr>
            <w:r>
              <w:rPr>
                <w:rFonts w:eastAsia="Times New Roman"/>
                <w:b/>
                <w:color w:val="0D0D0D" w:themeColor="text1" w:themeTint="F2"/>
              </w:rPr>
              <w:t>2021/2022</w:t>
            </w:r>
          </w:p>
        </w:tc>
        <w:tc>
          <w:tcPr>
            <w:tcW w:w="1910" w:type="dxa"/>
            <w:shd w:val="clear" w:color="auto" w:fill="auto"/>
          </w:tcPr>
          <w:p w14:paraId="672CB4E8"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8</w:t>
            </w:r>
          </w:p>
        </w:tc>
        <w:tc>
          <w:tcPr>
            <w:tcW w:w="2513" w:type="dxa"/>
            <w:shd w:val="clear" w:color="auto" w:fill="auto"/>
          </w:tcPr>
          <w:p w14:paraId="39250FE8"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8</w:t>
            </w:r>
          </w:p>
        </w:tc>
      </w:tr>
      <w:tr w:rsidR="00A23E10" w:rsidRPr="00BD47FF" w14:paraId="4BBFC690" w14:textId="77777777" w:rsidTr="00A23E10">
        <w:tc>
          <w:tcPr>
            <w:tcW w:w="1951" w:type="dxa"/>
            <w:shd w:val="clear" w:color="auto" w:fill="auto"/>
          </w:tcPr>
          <w:p w14:paraId="79313618"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2022/2023</w:t>
            </w:r>
          </w:p>
        </w:tc>
        <w:tc>
          <w:tcPr>
            <w:tcW w:w="1910" w:type="dxa"/>
            <w:shd w:val="clear" w:color="auto" w:fill="auto"/>
          </w:tcPr>
          <w:p w14:paraId="6FF52383"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11</w:t>
            </w:r>
          </w:p>
        </w:tc>
        <w:tc>
          <w:tcPr>
            <w:tcW w:w="2513" w:type="dxa"/>
            <w:shd w:val="clear" w:color="auto" w:fill="auto"/>
          </w:tcPr>
          <w:p w14:paraId="2A604EE7" w14:textId="77777777" w:rsidR="00A23E10" w:rsidRDefault="00A23E10" w:rsidP="00A23E10">
            <w:pPr>
              <w:ind w:right="5"/>
              <w:jc w:val="center"/>
              <w:rPr>
                <w:rFonts w:eastAsia="Times New Roman"/>
                <w:b/>
                <w:color w:val="0D0D0D" w:themeColor="text1" w:themeTint="F2"/>
              </w:rPr>
            </w:pPr>
            <w:r>
              <w:rPr>
                <w:rFonts w:eastAsia="Times New Roman"/>
                <w:b/>
                <w:color w:val="0D0D0D" w:themeColor="text1" w:themeTint="F2"/>
              </w:rPr>
              <w:t>11</w:t>
            </w:r>
          </w:p>
        </w:tc>
      </w:tr>
    </w:tbl>
    <w:p w14:paraId="2D3447F6" w14:textId="02FE4908" w:rsidR="003927FA" w:rsidRPr="003927FA" w:rsidRDefault="003927FA" w:rsidP="00A23E10">
      <w:pPr>
        <w:tabs>
          <w:tab w:val="left" w:pos="0"/>
          <w:tab w:val="left" w:pos="1365"/>
        </w:tabs>
      </w:pPr>
    </w:p>
    <w:sectPr w:rsidR="003927FA" w:rsidRPr="003927FA" w:rsidSect="00AD0A1D">
      <w:headerReference w:type="default" r:id="rId12"/>
      <w:footerReference w:type="default" r:id="rId13"/>
      <w:pgSz w:w="11906" w:h="16838" w:code="9"/>
      <w:pgMar w:top="142" w:right="991" w:bottom="851"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6DDD2" w14:textId="77777777" w:rsidR="008A3EBD" w:rsidRDefault="008A3EBD" w:rsidP="00327EF8">
      <w:pPr>
        <w:spacing w:after="0" w:line="240" w:lineRule="auto"/>
      </w:pPr>
      <w:r>
        <w:separator/>
      </w:r>
    </w:p>
  </w:endnote>
  <w:endnote w:type="continuationSeparator" w:id="0">
    <w:p w14:paraId="48CDBB95" w14:textId="77777777" w:rsidR="008A3EBD" w:rsidRDefault="008A3EBD" w:rsidP="0032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47FD" w14:textId="0E1A9CA6" w:rsidR="00327EF8" w:rsidRPr="00893AB7" w:rsidRDefault="000F7D7B" w:rsidP="000F7D7B">
    <w:pPr>
      <w:pBdr>
        <w:left w:val="single" w:sz="12" w:space="11" w:color="5B9BD5" w:themeColor="accent1"/>
      </w:pBdr>
      <w:tabs>
        <w:tab w:val="left" w:pos="0"/>
        <w:tab w:val="right" w:pos="10204"/>
      </w:tabs>
      <w:spacing w:after="0"/>
      <w:rPr>
        <w:rFonts w:eastAsiaTheme="majorEastAsia" w:cstheme="majorBidi"/>
        <w:color w:val="2E74B5" w:themeColor="accent1" w:themeShade="BF"/>
        <w:sz w:val="26"/>
        <w:szCs w:val="26"/>
      </w:rPr>
    </w:pPr>
    <w:r w:rsidRPr="004E58AC">
      <w:rPr>
        <w:rFonts w:eastAsiaTheme="majorEastAsia" w:cstheme="majorBidi"/>
        <w:color w:val="0070C0"/>
        <w:sz w:val="26"/>
        <w:szCs w:val="26"/>
      </w:rPr>
      <w:t>Updated November 2022</w:t>
    </w:r>
    <w:r w:rsidRPr="004E58AC">
      <w:rPr>
        <w:rFonts w:eastAsiaTheme="majorEastAsia" w:cstheme="majorBidi"/>
        <w:color w:val="0070C0"/>
        <w:sz w:val="26"/>
        <w:szCs w:val="26"/>
      </w:rPr>
      <w:tab/>
    </w:r>
    <w:hyperlink r:id="rId1" w:history="1">
      <w:r w:rsidRPr="004E58AC">
        <w:rPr>
          <w:color w:val="0070C0"/>
          <w:sz w:val="26"/>
          <w:szCs w:val="26"/>
        </w:rPr>
        <w:t>www.eani.org.uk/admissions</w:t>
      </w:r>
    </w:hyperlink>
    <w:r w:rsidRPr="00582C02">
      <w:rPr>
        <w:rFonts w:eastAsiaTheme="majorEastAsia" w:cstheme="majorBidi"/>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FD372" w14:textId="77777777" w:rsidR="008A3EBD" w:rsidRDefault="008A3EBD" w:rsidP="00327EF8">
      <w:pPr>
        <w:spacing w:after="0" w:line="240" w:lineRule="auto"/>
      </w:pPr>
      <w:r>
        <w:separator/>
      </w:r>
    </w:p>
  </w:footnote>
  <w:footnote w:type="continuationSeparator" w:id="0">
    <w:p w14:paraId="7BF2EF2A" w14:textId="77777777" w:rsidR="008A3EBD" w:rsidRDefault="008A3EBD" w:rsidP="00327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8E04" w14:textId="12C78603" w:rsidR="001362DF" w:rsidRDefault="001362DF" w:rsidP="001362DF">
    <w:pPr>
      <w:pBdr>
        <w:left w:val="single" w:sz="12" w:space="11" w:color="5B9BD5" w:themeColor="accent1"/>
      </w:pBdr>
      <w:tabs>
        <w:tab w:val="left" w:pos="3620"/>
        <w:tab w:val="left" w:pos="3964"/>
      </w:tabs>
      <w:spacing w:after="0"/>
      <w:rPr>
        <w:rFonts w:eastAsiaTheme="majorEastAsia" w:cstheme="majorBidi"/>
        <w:color w:val="2E74B5" w:themeColor="accent1" w:themeShade="BF"/>
        <w:sz w:val="26"/>
        <w:szCs w:val="26"/>
      </w:rPr>
    </w:pPr>
    <w:r>
      <w:rPr>
        <w:rFonts w:eastAsiaTheme="majorEastAsia" w:cstheme="majorBidi"/>
        <w:color w:val="2E74B5" w:themeColor="accent1" w:themeShade="BF"/>
        <w:sz w:val="26"/>
        <w:szCs w:val="26"/>
      </w:rPr>
      <w:t>Admissions criteria for entry</w:t>
    </w:r>
    <w:r w:rsidR="00DF58ED">
      <w:rPr>
        <w:rFonts w:eastAsiaTheme="majorEastAsia" w:cstheme="majorBidi"/>
        <w:color w:val="2E74B5" w:themeColor="accent1" w:themeShade="BF"/>
        <w:sz w:val="26"/>
        <w:szCs w:val="26"/>
      </w:rPr>
      <w:t xml:space="preserve"> September 202</w:t>
    </w:r>
    <w:r w:rsidR="000F7D7B">
      <w:rPr>
        <w:rFonts w:eastAsiaTheme="majorEastAsia" w:cstheme="majorBidi"/>
        <w:color w:val="2E74B5" w:themeColor="accent1" w:themeShade="BF"/>
        <w:sz w:val="26"/>
        <w:szCs w:val="26"/>
      </w:rPr>
      <w:t>3</w:t>
    </w:r>
  </w:p>
  <w:p w14:paraId="2D3447FC" w14:textId="3A35E0E6" w:rsidR="00327EF8" w:rsidRPr="00B71047" w:rsidRDefault="00327EF8" w:rsidP="00B71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7C3D57"/>
    <w:multiLevelType w:val="hybridMultilevel"/>
    <w:tmpl w:val="7CEE4FAA"/>
    <w:lvl w:ilvl="0" w:tplc="4D0090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2E"/>
    <w:rsid w:val="00011460"/>
    <w:rsid w:val="00023580"/>
    <w:rsid w:val="00045F82"/>
    <w:rsid w:val="000846D9"/>
    <w:rsid w:val="000D6E86"/>
    <w:rsid w:val="000F7D7B"/>
    <w:rsid w:val="00101B3E"/>
    <w:rsid w:val="001362DF"/>
    <w:rsid w:val="00182877"/>
    <w:rsid w:val="001C2054"/>
    <w:rsid w:val="001D3CD9"/>
    <w:rsid w:val="001D751C"/>
    <w:rsid w:val="00226431"/>
    <w:rsid w:val="002333E5"/>
    <w:rsid w:val="00263C31"/>
    <w:rsid w:val="002678AB"/>
    <w:rsid w:val="00275EEE"/>
    <w:rsid w:val="002D0E79"/>
    <w:rsid w:val="00306C47"/>
    <w:rsid w:val="003149EB"/>
    <w:rsid w:val="00327EF8"/>
    <w:rsid w:val="0034254C"/>
    <w:rsid w:val="0037431F"/>
    <w:rsid w:val="003927FA"/>
    <w:rsid w:val="00422D2D"/>
    <w:rsid w:val="00436B46"/>
    <w:rsid w:val="004C0510"/>
    <w:rsid w:val="00570F38"/>
    <w:rsid w:val="005D0C7D"/>
    <w:rsid w:val="005E072E"/>
    <w:rsid w:val="006014A1"/>
    <w:rsid w:val="00645CF4"/>
    <w:rsid w:val="00657824"/>
    <w:rsid w:val="006D43F3"/>
    <w:rsid w:val="006D587E"/>
    <w:rsid w:val="0073510E"/>
    <w:rsid w:val="007442E3"/>
    <w:rsid w:val="0074437A"/>
    <w:rsid w:val="00751381"/>
    <w:rsid w:val="00786357"/>
    <w:rsid w:val="00795F8F"/>
    <w:rsid w:val="007B3838"/>
    <w:rsid w:val="008162EA"/>
    <w:rsid w:val="008633D5"/>
    <w:rsid w:val="00893AB7"/>
    <w:rsid w:val="008A3EBD"/>
    <w:rsid w:val="008C2EE9"/>
    <w:rsid w:val="00916B8F"/>
    <w:rsid w:val="0092180E"/>
    <w:rsid w:val="009700E2"/>
    <w:rsid w:val="00997420"/>
    <w:rsid w:val="009A3788"/>
    <w:rsid w:val="009B7B35"/>
    <w:rsid w:val="009E5DC7"/>
    <w:rsid w:val="00A23E10"/>
    <w:rsid w:val="00A53A0B"/>
    <w:rsid w:val="00A55B9A"/>
    <w:rsid w:val="00A62EE9"/>
    <w:rsid w:val="00A742A4"/>
    <w:rsid w:val="00AD0A1D"/>
    <w:rsid w:val="00B31036"/>
    <w:rsid w:val="00B41840"/>
    <w:rsid w:val="00B54E6F"/>
    <w:rsid w:val="00B71047"/>
    <w:rsid w:val="00B77DB6"/>
    <w:rsid w:val="00BD47FF"/>
    <w:rsid w:val="00C33F4B"/>
    <w:rsid w:val="00C8637E"/>
    <w:rsid w:val="00C911E8"/>
    <w:rsid w:val="00CD0A07"/>
    <w:rsid w:val="00D14E06"/>
    <w:rsid w:val="00D160B9"/>
    <w:rsid w:val="00D30AA3"/>
    <w:rsid w:val="00D5289E"/>
    <w:rsid w:val="00D91173"/>
    <w:rsid w:val="00DE4C7C"/>
    <w:rsid w:val="00DE79B9"/>
    <w:rsid w:val="00DF58ED"/>
    <w:rsid w:val="00E02F25"/>
    <w:rsid w:val="00E258E0"/>
    <w:rsid w:val="00E467F0"/>
    <w:rsid w:val="00E531EB"/>
    <w:rsid w:val="00E8194D"/>
    <w:rsid w:val="00EB7691"/>
    <w:rsid w:val="00EF41A2"/>
    <w:rsid w:val="00F32B08"/>
    <w:rsid w:val="00F35AC3"/>
    <w:rsid w:val="00F3604A"/>
    <w:rsid w:val="00F413F0"/>
    <w:rsid w:val="00F415C8"/>
    <w:rsid w:val="00F724BA"/>
    <w:rsid w:val="00F81F8A"/>
    <w:rsid w:val="00FA4ED5"/>
    <w:rsid w:val="00FF00DD"/>
    <w:rsid w:val="00FF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447AE"/>
  <w15:docId w15:val="{724FA60F-165E-419A-A9A0-8493C847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2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F8"/>
  </w:style>
  <w:style w:type="paragraph" w:styleId="Footer">
    <w:name w:val="footer"/>
    <w:basedOn w:val="Normal"/>
    <w:link w:val="FooterChar"/>
    <w:uiPriority w:val="99"/>
    <w:unhideWhenUsed/>
    <w:rsid w:val="00327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F8"/>
  </w:style>
  <w:style w:type="paragraph" w:styleId="BalloonText">
    <w:name w:val="Balloon Text"/>
    <w:basedOn w:val="Normal"/>
    <w:link w:val="BalloonTextChar"/>
    <w:uiPriority w:val="99"/>
    <w:semiHidden/>
    <w:unhideWhenUsed/>
    <w:rsid w:val="00E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25"/>
    <w:rPr>
      <w:rFonts w:ascii="Tahoma" w:hAnsi="Tahoma" w:cs="Tahoma"/>
      <w:sz w:val="16"/>
      <w:szCs w:val="16"/>
    </w:rPr>
  </w:style>
  <w:style w:type="character" w:styleId="Hyperlink">
    <w:name w:val="Hyperlink"/>
    <w:basedOn w:val="DefaultParagraphFont"/>
    <w:uiPriority w:val="99"/>
    <w:unhideWhenUsed/>
    <w:rsid w:val="00893AB7"/>
    <w:rPr>
      <w:color w:val="0563C1" w:themeColor="hyperlink"/>
      <w:u w:val="single"/>
    </w:rPr>
  </w:style>
  <w:style w:type="character" w:styleId="FollowedHyperlink">
    <w:name w:val="FollowedHyperlink"/>
    <w:basedOn w:val="DefaultParagraphFont"/>
    <w:uiPriority w:val="99"/>
    <w:semiHidden/>
    <w:unhideWhenUsed/>
    <w:rsid w:val="00893AB7"/>
    <w:rPr>
      <w:color w:val="954F72" w:themeColor="followedHyperlink"/>
      <w:u w:val="single"/>
    </w:rPr>
  </w:style>
  <w:style w:type="paragraph" w:styleId="NoSpacing">
    <w:name w:val="No Spacing"/>
    <w:uiPriority w:val="1"/>
    <w:qFormat/>
    <w:rsid w:val="002678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7404">
      <w:bodyDiv w:val="1"/>
      <w:marLeft w:val="0"/>
      <w:marRight w:val="0"/>
      <w:marTop w:val="0"/>
      <w:marBottom w:val="0"/>
      <w:divBdr>
        <w:top w:val="none" w:sz="0" w:space="0" w:color="auto"/>
        <w:left w:val="none" w:sz="0" w:space="0" w:color="auto"/>
        <w:bottom w:val="none" w:sz="0" w:space="0" w:color="auto"/>
        <w:right w:val="none" w:sz="0" w:space="0" w:color="auto"/>
      </w:divBdr>
    </w:div>
    <w:div w:id="367023316">
      <w:bodyDiv w:val="1"/>
      <w:marLeft w:val="0"/>
      <w:marRight w:val="0"/>
      <w:marTop w:val="0"/>
      <w:marBottom w:val="0"/>
      <w:divBdr>
        <w:top w:val="none" w:sz="0" w:space="0" w:color="auto"/>
        <w:left w:val="none" w:sz="0" w:space="0" w:color="auto"/>
        <w:bottom w:val="none" w:sz="0" w:space="0" w:color="auto"/>
        <w:right w:val="none" w:sz="0" w:space="0" w:color="auto"/>
      </w:divBdr>
    </w:div>
    <w:div w:id="758991900">
      <w:bodyDiv w:val="1"/>
      <w:marLeft w:val="0"/>
      <w:marRight w:val="0"/>
      <w:marTop w:val="0"/>
      <w:marBottom w:val="0"/>
      <w:divBdr>
        <w:top w:val="none" w:sz="0" w:space="0" w:color="auto"/>
        <w:left w:val="none" w:sz="0" w:space="0" w:color="auto"/>
        <w:bottom w:val="none" w:sz="0" w:space="0" w:color="auto"/>
        <w:right w:val="none" w:sz="0" w:space="0" w:color="auto"/>
      </w:divBdr>
    </w:div>
    <w:div w:id="778910339">
      <w:bodyDiv w:val="1"/>
      <w:marLeft w:val="0"/>
      <w:marRight w:val="0"/>
      <w:marTop w:val="0"/>
      <w:marBottom w:val="0"/>
      <w:divBdr>
        <w:top w:val="none" w:sz="0" w:space="0" w:color="auto"/>
        <w:left w:val="none" w:sz="0" w:space="0" w:color="auto"/>
        <w:bottom w:val="none" w:sz="0" w:space="0" w:color="auto"/>
        <w:right w:val="none" w:sz="0" w:space="0" w:color="auto"/>
      </w:divBdr>
    </w:div>
    <w:div w:id="1340625021">
      <w:bodyDiv w:val="1"/>
      <w:marLeft w:val="0"/>
      <w:marRight w:val="0"/>
      <w:marTop w:val="0"/>
      <w:marBottom w:val="0"/>
      <w:divBdr>
        <w:top w:val="none" w:sz="0" w:space="0" w:color="auto"/>
        <w:left w:val="none" w:sz="0" w:space="0" w:color="auto"/>
        <w:bottom w:val="none" w:sz="0" w:space="0" w:color="auto"/>
        <w:right w:val="none" w:sz="0" w:space="0" w:color="auto"/>
      </w:divBdr>
    </w:div>
    <w:div w:id="1402753830">
      <w:bodyDiv w:val="1"/>
      <w:marLeft w:val="0"/>
      <w:marRight w:val="0"/>
      <w:marTop w:val="0"/>
      <w:marBottom w:val="0"/>
      <w:divBdr>
        <w:top w:val="none" w:sz="0" w:space="0" w:color="auto"/>
        <w:left w:val="none" w:sz="0" w:space="0" w:color="auto"/>
        <w:bottom w:val="none" w:sz="0" w:space="0" w:color="auto"/>
        <w:right w:val="none" w:sz="0" w:space="0" w:color="auto"/>
      </w:divBdr>
    </w:div>
    <w:div w:id="15884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mhilleryprimar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ani.org.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BB4D0A712C54D8CFE3A69BB5127D3" ma:contentTypeVersion="0" ma:contentTypeDescription="Create a new document." ma:contentTypeScope="" ma:versionID="2dfb6fbf43f08db4e172f243f96af0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AD063-D633-4888-A006-9C3862ABAD4A}">
  <ds:schemaRefs>
    <ds:schemaRef ds:uri="http://schemas.openxmlformats.org/officeDocument/2006/bibliography"/>
  </ds:schemaRefs>
</ds:datastoreItem>
</file>

<file path=customXml/itemProps2.xml><?xml version="1.0" encoding="utf-8"?>
<ds:datastoreItem xmlns:ds="http://schemas.openxmlformats.org/officeDocument/2006/customXml" ds:itemID="{3E802A2C-A4F1-49B3-9FE8-10018AC8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CFF640-1BA0-4BD7-BFD1-BCCDAAAE4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F4889-3347-45D4-BFAF-FE0F9F769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Chris Kerr</cp:lastModifiedBy>
  <cp:revision>2</cp:revision>
  <cp:lastPrinted>2022-11-18T12:20:00Z</cp:lastPrinted>
  <dcterms:created xsi:type="dcterms:W3CDTF">2022-11-18T12:36:00Z</dcterms:created>
  <dcterms:modified xsi:type="dcterms:W3CDTF">2022-11-18T12:36:00Z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0x010100405BB4D0A712C54D8CFE3A69BB5127D3</vt:lpwstr>
  </property>
  <property fmtid="{D5CDD505-2E9C-101B-9397-08002B2CF9AE}" pid="3" name="_dlc_DocIdItemGuid">
    <vt:lpwstr>173d5660-16b3-4e4a-82a0-e3bc0c154d5a</vt:lpwstr>
  </property>
</Properties>
</file>